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47A" w:rsidRDefault="00CF3493" w:rsidP="00CF3493">
      <w:pPr>
        <w:pStyle w:val="Nadpis1"/>
        <w:jc w:val="center"/>
      </w:pPr>
      <w:r>
        <w:t xml:space="preserve">ÚLOHA </w:t>
      </w:r>
      <w:r w:rsidR="001820D6">
        <w:t>7b</w:t>
      </w:r>
      <w:bookmarkStart w:id="0" w:name="_GoBack"/>
      <w:bookmarkEnd w:id="0"/>
      <w:r w:rsidR="00387C46">
        <w:t xml:space="preserve"> </w:t>
      </w:r>
      <w:r w:rsidR="00BE7010">
        <w:t>-</w:t>
      </w:r>
      <w:r w:rsidR="00387C46">
        <w:t xml:space="preserve"> </w:t>
      </w:r>
      <w:r w:rsidR="00BE7010">
        <w:t>OBCHODNÍ SPOLEČNOST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BE7010" w:rsidP="006E0F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konfiguraci</w:t>
      </w:r>
      <w:r w:rsidR="006E0F1B" w:rsidRPr="006E0F1B">
        <w:rPr>
          <w:rFonts w:ascii="Arial" w:hAnsi="Arial" w:cs="Arial"/>
          <w:sz w:val="24"/>
          <w:szCs w:val="24"/>
        </w:rPr>
        <w:t xml:space="preserve"> telefonní</w:t>
      </w:r>
      <w:r>
        <w:rPr>
          <w:rFonts w:ascii="Arial" w:hAnsi="Arial" w:cs="Arial"/>
          <w:sz w:val="24"/>
          <w:szCs w:val="24"/>
        </w:rPr>
        <w:t xml:space="preserve">ch ústředen </w:t>
      </w:r>
      <w:r w:rsidR="00EA0071" w:rsidRPr="006E0F1B">
        <w:rPr>
          <w:rFonts w:ascii="Arial" w:hAnsi="Arial" w:cs="Arial"/>
          <w:sz w:val="24"/>
          <w:szCs w:val="24"/>
        </w:rPr>
        <w:t xml:space="preserve">a nastavte </w:t>
      </w:r>
      <w:r w:rsidR="006E0F1B" w:rsidRPr="006E0F1B">
        <w:rPr>
          <w:rFonts w:ascii="Arial" w:hAnsi="Arial" w:cs="Arial"/>
          <w:sz w:val="24"/>
          <w:szCs w:val="24"/>
        </w:rPr>
        <w:t>ústředn</w:t>
      </w:r>
      <w:r>
        <w:rPr>
          <w:rFonts w:ascii="Arial" w:hAnsi="Arial" w:cs="Arial"/>
          <w:sz w:val="24"/>
          <w:szCs w:val="24"/>
        </w:rPr>
        <w:t>y</w:t>
      </w:r>
      <w:r w:rsidR="00EA0071" w:rsidRPr="006E0F1B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obchodní společnosti</w:t>
      </w:r>
      <w:r w:rsidR="00EA0071" w:rsidRPr="006E0F1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Společnost má hlavní pobočku s 20 kancelářemi a pobočku s 5 kancelářemi v jiném městě. Propojte ústředny tak, aby bylo možné mezi jednotlivými kancelářemi v různých pobočkách volat pomocí krátké volby. </w:t>
      </w:r>
    </w:p>
    <w:p w:rsidR="00EC077E" w:rsidRDefault="00EC077E" w:rsidP="00EC077E">
      <w:pPr>
        <w:pStyle w:val="Nadpis1"/>
      </w:pPr>
      <w:r>
        <w:t>Požadavky:</w:t>
      </w:r>
    </w:p>
    <w:p w:rsidR="00BE7010" w:rsidRDefault="00BE7010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realizace pomocí digitální ústředny</w:t>
      </w:r>
    </w:p>
    <w:p w:rsidR="00EA0071" w:rsidRPr="006E0F1B" w:rsidRDefault="00EA007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čísla telefonů </w:t>
      </w:r>
      <w:r w:rsidR="00BE7010">
        <w:rPr>
          <w:rFonts w:ascii="Arial" w:hAnsi="Arial" w:cs="Arial"/>
          <w:sz w:val="24"/>
          <w:szCs w:val="24"/>
        </w:rPr>
        <w:t>pro hlavní pobočku (1x-3x), pro druhou pobočku (4x)</w:t>
      </w:r>
    </w:p>
    <w:p w:rsidR="00BE7010" w:rsidRDefault="00BE7010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obchodní manažeři a vedení společnosti může volat kamkoliv, ostatní jen v rámci firmy</w:t>
      </w:r>
    </w:p>
    <w:p w:rsidR="00BE7010" w:rsidRDefault="00BE7010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vytáčení mimo firmu je realizováno přes 0</w:t>
      </w:r>
    </w:p>
    <w:p w:rsidR="006E0F1B" w:rsidRDefault="00BE7010" w:rsidP="006E0F1B">
      <w:pPr>
        <w:jc w:val="center"/>
      </w:pPr>
      <w:r>
        <w:object w:dxaOrig="9057" w:dyaOrig="6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15.75pt" o:ole="">
            <v:imagedata r:id="rId7" o:title=""/>
          </v:shape>
          <o:OLEObject Type="Embed" ProgID="Visio.Drawing.11" ShapeID="_x0000_i1025" DrawAspect="Content" ObjectID="_1483184558" r:id="rId8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B01FD1" w:rsidRDefault="00B01FD1" w:rsidP="00BE7010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0C32D6" w:rsidRDefault="000C32D6" w:rsidP="00C90E1C">
      <w:pPr>
        <w:pStyle w:val="Nadpis1"/>
      </w:pPr>
    </w:p>
    <w:p w:rsidR="000C32D6" w:rsidRDefault="000C32D6" w:rsidP="000C32D6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C47FF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C47FF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9C47FF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C8D" w:rsidRDefault="00A83C8D" w:rsidP="00B01FD1">
      <w:pPr>
        <w:spacing w:after="0" w:line="240" w:lineRule="auto"/>
      </w:pPr>
      <w:r>
        <w:separator/>
      </w:r>
    </w:p>
  </w:endnote>
  <w:endnote w:type="continuationSeparator" w:id="1">
    <w:p w:rsidR="00A83C8D" w:rsidRDefault="00A83C8D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C46" w:rsidRDefault="00387C46" w:rsidP="00387C46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C8D" w:rsidRDefault="00A83C8D" w:rsidP="00B01FD1">
      <w:pPr>
        <w:spacing w:after="0" w:line="240" w:lineRule="auto"/>
      </w:pPr>
      <w:r>
        <w:separator/>
      </w:r>
    </w:p>
  </w:footnote>
  <w:footnote w:type="continuationSeparator" w:id="1">
    <w:p w:rsidR="00A83C8D" w:rsidRDefault="00A83C8D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05DA4"/>
    <w:rsid w:val="000C32D6"/>
    <w:rsid w:val="00111F02"/>
    <w:rsid w:val="001820D6"/>
    <w:rsid w:val="001859B7"/>
    <w:rsid w:val="0032247A"/>
    <w:rsid w:val="00387C46"/>
    <w:rsid w:val="00487631"/>
    <w:rsid w:val="00503CC6"/>
    <w:rsid w:val="00643540"/>
    <w:rsid w:val="006B5AF5"/>
    <w:rsid w:val="006E0F1B"/>
    <w:rsid w:val="007A258E"/>
    <w:rsid w:val="007C27BF"/>
    <w:rsid w:val="008B2203"/>
    <w:rsid w:val="008C190D"/>
    <w:rsid w:val="008C43D6"/>
    <w:rsid w:val="009C47FF"/>
    <w:rsid w:val="00A17F67"/>
    <w:rsid w:val="00A43415"/>
    <w:rsid w:val="00A83C8D"/>
    <w:rsid w:val="00AD4D71"/>
    <w:rsid w:val="00B01FD1"/>
    <w:rsid w:val="00BE7010"/>
    <w:rsid w:val="00C90E1C"/>
    <w:rsid w:val="00C90F00"/>
    <w:rsid w:val="00CF3493"/>
    <w:rsid w:val="00E02F2F"/>
    <w:rsid w:val="00E13236"/>
    <w:rsid w:val="00EA0071"/>
    <w:rsid w:val="00EC077E"/>
    <w:rsid w:val="00EE5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F00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5</cp:revision>
  <dcterms:created xsi:type="dcterms:W3CDTF">2014-05-07T03:52:00Z</dcterms:created>
  <dcterms:modified xsi:type="dcterms:W3CDTF">2015-01-19T13:56:00Z</dcterms:modified>
</cp:coreProperties>
</file>